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Лечение храпа и остановки дыхания во сне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i/>
          <w:iCs/>
          <w:color w:val="000000"/>
          <w:sz w:val="27"/>
          <w:szCs w:val="27"/>
        </w:rPr>
        <w:t>Кому рекомендована программа лечения храпа и остановки дыхания во сне: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Программу рекомендуется пройти, если вы заметили у себя или своих близких симптомы апноэ: ежедневных храп и остановку дыхания во сне, особенно в сочетании с повышенной утомляемостью, раздражительностью, сонливостью днем и стойким повышенным артериальным давлением.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Также стоит учесть такие сопутствующие факторы: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избыточная массу тела — индекс массы тела более 26;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сахарный диабет и метаболический синдром;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сердечные аритмии;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гипоксию — кислородное голодание головного мозга;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нарушение памяти, внимания и интеллекта.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●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Ишемическая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болезнь сердца в острых проявлениях — инфаркт миокарда, нестабильная стенокардия.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Показания к хирургическому лечению сердечно-сосудистой системы — ИБС, аритмии, эндокардита или пороков сердца.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● Нарушения мозгового кровообращения в острой или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подострой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стадии.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Острая или хроническая почечная недостаточность с потребностью в проведении гемодиализа.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Выраженные анемии, требующие коррекции в срочном порядке.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● Онкологические заболевания, требующие срочного хирургического, лучевого или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химиотерапевтического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а также паллиативного лечения.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Инфекционные болезни, в том числе ОРЗ/ОРВИ.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Хронические заболевания в стадии обострения, требующие оперативного лечения в ближайшее время.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● Психические расстройства, требующие специализированного лечения или ухода — в том числе, у пожилых людей.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8857BE" w:rsidRDefault="008857BE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8857BE" w:rsidRDefault="008857BE"/>
    <w:sectPr w:rsidR="0088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BE"/>
    <w:rsid w:val="008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41CC5A-69B1-5E4B-BDAD-EC5CE6A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8857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857BE"/>
  </w:style>
  <w:style w:type="character" w:customStyle="1" w:styleId="s4">
    <w:name w:val="s4"/>
    <w:basedOn w:val="a0"/>
    <w:rsid w:val="0088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2022-03-16T09:59:00Z</dcterms:created>
  <dcterms:modified xsi:type="dcterms:W3CDTF">2022-03-16T09:59:00Z</dcterms:modified>
</cp:coreProperties>
</file>